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9CB9" w14:textId="7E88B4F2" w:rsidR="0034464A" w:rsidRDefault="0053716A" w:rsidP="00284AFC">
      <w:pPr>
        <w:jc w:val="center"/>
        <w:rPr>
          <w:rFonts w:ascii="Trebuchet MS" w:hAnsi="Trebuchet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49627A" wp14:editId="030D982D">
                <wp:simplePos x="0" y="0"/>
                <wp:positionH relativeFrom="page">
                  <wp:posOffset>94759</wp:posOffset>
                </wp:positionH>
                <wp:positionV relativeFrom="paragraph">
                  <wp:posOffset>-106429</wp:posOffset>
                </wp:positionV>
                <wp:extent cx="353683" cy="1725283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83" cy="17252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7E3CD" w14:textId="418D4BDA" w:rsidR="0053716A" w:rsidRDefault="0053716A" w:rsidP="0053716A">
                            <w:pPr>
                              <w:spacing w:before="13"/>
                              <w:ind w:left="2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Copyright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53716A"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 xml:space="preserve">International </w:t>
                            </w:r>
                            <w:proofErr w:type="spellStart"/>
                            <w:r w:rsidRPr="0053716A"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Finance</w:t>
                            </w:r>
                            <w:proofErr w:type="spellEnd"/>
                            <w:r w:rsidRPr="0053716A"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53716A"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Corporation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627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.45pt;margin-top:-8.4pt;width:27.85pt;height:135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" filled="f" stroked="f">
                <v:textbox style="layout-flow:vertical;mso-layout-flow-alt:bottom-to-top" inset="0,0,0,0">
                  <w:txbxContent>
                    <w:p w14:paraId="29B7E3CD" w14:textId="418D4BDA" w:rsidR="0053716A" w:rsidRDefault="0053716A" w:rsidP="0053716A">
                      <w:pPr>
                        <w:spacing w:before="13"/>
                        <w:ind w:left="2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Copyright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©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 w:rsidRPr="0053716A">
                        <w:rPr>
                          <w:rFonts w:ascii="Times New Roman" w:hAnsi="Times New Roman"/>
                          <w:w w:val="110"/>
                          <w:sz w:val="16"/>
                        </w:rPr>
                        <w:t xml:space="preserve">International </w:t>
                      </w:r>
                      <w:proofErr w:type="spellStart"/>
                      <w:r w:rsidRPr="0053716A">
                        <w:rPr>
                          <w:rFonts w:ascii="Times New Roman" w:hAnsi="Times New Roman"/>
                          <w:w w:val="110"/>
                          <w:sz w:val="16"/>
                        </w:rPr>
                        <w:t>Finance</w:t>
                      </w:r>
                      <w:proofErr w:type="spellEnd"/>
                      <w:r w:rsidRPr="0053716A">
                        <w:rPr>
                          <w:rFonts w:ascii="Times New Roman" w:hAnsi="Times New Roman"/>
                          <w:w w:val="110"/>
                          <w:sz w:val="16"/>
                        </w:rPr>
                        <w:t xml:space="preserve"> </w:t>
                      </w:r>
                      <w:proofErr w:type="spellStart"/>
                      <w:r w:rsidRPr="0053716A">
                        <w:rPr>
                          <w:rFonts w:ascii="Times New Roman" w:hAnsi="Times New Roman"/>
                          <w:w w:val="110"/>
                          <w:sz w:val="16"/>
                        </w:rPr>
                        <w:t>Corporation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84AFC" w:rsidRPr="00284AFC">
        <w:rPr>
          <w:rFonts w:ascii="Trebuchet MS" w:hAnsi="Trebuchet MS"/>
          <w:b/>
          <w:bCs/>
        </w:rPr>
        <w:t>Orientación y términos de referencia de la encuesta sobre brecha salarial</w:t>
      </w:r>
    </w:p>
    <w:p w14:paraId="04AE31C4" w14:textId="072055D0" w:rsidR="0053716A" w:rsidRPr="00284AFC" w:rsidRDefault="0053716A" w:rsidP="00284AFC">
      <w:pPr>
        <w:jc w:val="center"/>
        <w:rPr>
          <w:rFonts w:ascii="Trebuchet MS" w:hAnsi="Trebuchet MS"/>
          <w:b/>
          <w:bCs/>
        </w:rPr>
      </w:pPr>
    </w:p>
    <w:p w14:paraId="4990374A" w14:textId="566B38B9" w:rsidR="00284AFC" w:rsidRDefault="00284AFC" w:rsidP="00284AFC">
      <w:pPr>
        <w:jc w:val="both"/>
        <w:rPr>
          <w:rFonts w:ascii="Trebuchet MS" w:hAnsi="Trebuchet MS"/>
        </w:rPr>
      </w:pPr>
      <w:r w:rsidRPr="00284AFC">
        <w:rPr>
          <w:rFonts w:ascii="Trebuchet MS" w:hAnsi="Trebuchet MS"/>
          <w:b/>
          <w:bCs/>
        </w:rPr>
        <w:t xml:space="preserve">OBJETIVO: </w:t>
      </w:r>
      <w:r>
        <w:rPr>
          <w:rFonts w:ascii="Trebuchet MS" w:hAnsi="Trebuchet MS"/>
        </w:rPr>
        <w:t>Brindar</w:t>
      </w:r>
      <w:r w:rsidRPr="00284AFC">
        <w:rPr>
          <w:rFonts w:ascii="Trebuchet MS" w:hAnsi="Trebuchet MS"/>
        </w:rPr>
        <w:t xml:space="preserve"> orientaciones políticas y medidas para corregir los desequilibrios en materia de igualdad salarial</w:t>
      </w:r>
      <w:r w:rsidRPr="00284AFC">
        <w:rPr>
          <w:rFonts w:ascii="Trebuchet MS" w:hAnsi="Trebuchet MS"/>
        </w:rPr>
        <w:t xml:space="preserve"> por igual trabajo </w:t>
      </w:r>
    </w:p>
    <w:p w14:paraId="482DC827" w14:textId="77777777" w:rsidR="00284AFC" w:rsidRDefault="00284AFC" w:rsidP="00284AFC">
      <w:pPr>
        <w:jc w:val="both"/>
        <w:rPr>
          <w:rFonts w:ascii="Trebuchet MS" w:hAnsi="Trebuchet MS"/>
        </w:rPr>
      </w:pPr>
    </w:p>
    <w:p w14:paraId="1D076A33" w14:textId="57454603" w:rsidR="00284AFC" w:rsidRDefault="00284AFC" w:rsidP="00284AFC">
      <w:pPr>
        <w:jc w:val="both"/>
        <w:rPr>
          <w:rFonts w:ascii="Trebuchet MS" w:hAnsi="Trebuchet MS"/>
        </w:rPr>
      </w:pPr>
      <w:r w:rsidRPr="00284AFC">
        <w:rPr>
          <w:rFonts w:ascii="Trebuchet MS" w:hAnsi="Trebuchet MS"/>
        </w:rPr>
        <w:t>Para atraer y retener una fuerza laboral con diversidad de género, los candidatos potenciales deben tener la</w:t>
      </w:r>
      <w:r>
        <w:rPr>
          <w:rFonts w:ascii="Trebuchet MS" w:hAnsi="Trebuchet MS"/>
        </w:rPr>
        <w:t xml:space="preserve"> </w:t>
      </w:r>
      <w:r w:rsidRPr="00284AFC">
        <w:rPr>
          <w:rFonts w:ascii="Trebuchet MS" w:hAnsi="Trebuchet MS"/>
        </w:rPr>
        <w:t>confianza de que se les paga de manera justa por su trabajo. “Igual salario por igual trabajo” significa que mujeres y</w:t>
      </w:r>
      <w:r>
        <w:rPr>
          <w:rFonts w:ascii="Trebuchet MS" w:hAnsi="Trebuchet MS"/>
        </w:rPr>
        <w:t xml:space="preserve"> </w:t>
      </w:r>
      <w:r w:rsidRPr="00284AFC">
        <w:rPr>
          <w:rFonts w:ascii="Trebuchet MS" w:hAnsi="Trebuchet MS"/>
        </w:rPr>
        <w:t>hombres recibirán el mismo salario y las mismas condiciones de trabajo por descripciones de trabajo iguales o similares,</w:t>
      </w:r>
      <w:r>
        <w:rPr>
          <w:rFonts w:ascii="Trebuchet MS" w:hAnsi="Trebuchet MS"/>
        </w:rPr>
        <w:t xml:space="preserve"> </w:t>
      </w:r>
      <w:r w:rsidRPr="00284AFC">
        <w:rPr>
          <w:rFonts w:ascii="Trebuchet MS" w:hAnsi="Trebuchet MS"/>
        </w:rPr>
        <w:t>y/o por trabajos que requieran niveles similares de habilidad o calificación</w:t>
      </w:r>
      <w:r>
        <w:rPr>
          <w:rFonts w:ascii="Trebuchet MS" w:hAnsi="Trebuchet MS"/>
        </w:rPr>
        <w:t xml:space="preserve">. </w:t>
      </w:r>
      <w:r w:rsidRPr="00284AFC">
        <w:rPr>
          <w:rFonts w:ascii="Trebuchet MS" w:hAnsi="Trebuchet MS"/>
        </w:rPr>
        <w:t>Pero a nivel mundial y en muchas industrias, persisten las brechas salariales entre mujeres y hombres que realizan</w:t>
      </w:r>
      <w:r>
        <w:rPr>
          <w:rFonts w:ascii="Trebuchet MS" w:hAnsi="Trebuchet MS"/>
        </w:rPr>
        <w:t xml:space="preserve"> </w:t>
      </w:r>
      <w:r w:rsidRPr="00284AFC">
        <w:rPr>
          <w:rFonts w:ascii="Trebuchet MS" w:hAnsi="Trebuchet MS"/>
        </w:rPr>
        <w:t>los mismos trabajos.</w:t>
      </w:r>
    </w:p>
    <w:p w14:paraId="680E2549" w14:textId="63FF8158" w:rsidR="00E209E8" w:rsidRPr="00E209E8" w:rsidRDefault="00E209E8" w:rsidP="00E209E8">
      <w:pPr>
        <w:jc w:val="both"/>
        <w:rPr>
          <w:rFonts w:ascii="Trebuchet MS" w:hAnsi="Trebuchet MS"/>
        </w:rPr>
      </w:pPr>
      <w:r w:rsidRPr="00E209E8">
        <w:rPr>
          <w:rFonts w:ascii="Trebuchet MS" w:hAnsi="Trebuchet MS"/>
        </w:rPr>
        <w:t>La equidad salarial no s</w:t>
      </w:r>
      <w:r>
        <w:rPr>
          <w:rFonts w:ascii="Trebuchet MS" w:hAnsi="Trebuchet MS"/>
        </w:rPr>
        <w:t>o</w:t>
      </w:r>
      <w:r w:rsidRPr="00E209E8">
        <w:rPr>
          <w:rFonts w:ascii="Trebuchet MS" w:hAnsi="Trebuchet MS"/>
        </w:rPr>
        <w:t>lo es lo correcto, sino que también tiene sentido desde el punto de vista empresarial. Pagar</w:t>
      </w:r>
      <w:r>
        <w:rPr>
          <w:rFonts w:ascii="Trebuchet MS" w:hAnsi="Trebuchet MS"/>
        </w:rPr>
        <w:t xml:space="preserve"> </w:t>
      </w:r>
      <w:r w:rsidRPr="00E209E8">
        <w:rPr>
          <w:rFonts w:ascii="Trebuchet MS" w:hAnsi="Trebuchet MS"/>
        </w:rPr>
        <w:t>equitativamente a todos los candidatos es importante para retener a los empleados de alto desempeño y desarrollar una</w:t>
      </w:r>
      <w:r>
        <w:rPr>
          <w:rFonts w:ascii="Trebuchet MS" w:hAnsi="Trebuchet MS"/>
        </w:rPr>
        <w:t xml:space="preserve"> </w:t>
      </w:r>
      <w:r w:rsidRPr="00E209E8">
        <w:rPr>
          <w:rFonts w:ascii="Trebuchet MS" w:hAnsi="Trebuchet MS"/>
        </w:rPr>
        <w:t>sólida cartera de altos directivos.</w:t>
      </w:r>
      <w:r>
        <w:rPr>
          <w:rFonts w:ascii="Trebuchet MS" w:hAnsi="Trebuchet MS"/>
        </w:rPr>
        <w:t xml:space="preserve"> </w:t>
      </w:r>
      <w:r w:rsidRPr="00E209E8">
        <w:rPr>
          <w:rFonts w:ascii="Trebuchet MS" w:hAnsi="Trebuchet MS"/>
        </w:rPr>
        <w:t>Además, la transparencia puede motivar a los trabajadores y fomentar la</w:t>
      </w:r>
      <w:r>
        <w:rPr>
          <w:rFonts w:ascii="Trebuchet MS" w:hAnsi="Trebuchet MS"/>
        </w:rPr>
        <w:t xml:space="preserve"> </w:t>
      </w:r>
      <w:r w:rsidRPr="00E209E8">
        <w:rPr>
          <w:rFonts w:ascii="Trebuchet MS" w:hAnsi="Trebuchet MS"/>
        </w:rPr>
        <w:t>cooperación cuando los colegas saben que están siendo remunerados de manera justa.</w:t>
      </w:r>
    </w:p>
    <w:p w14:paraId="508C5E06" w14:textId="18617AF0" w:rsidR="00284AFC" w:rsidRDefault="00E209E8" w:rsidP="00E209E8">
      <w:pPr>
        <w:jc w:val="both"/>
        <w:rPr>
          <w:rFonts w:ascii="Trebuchet MS" w:hAnsi="Trebuchet MS"/>
        </w:rPr>
      </w:pPr>
      <w:r w:rsidRPr="00E209E8">
        <w:rPr>
          <w:rFonts w:ascii="Trebuchet MS" w:hAnsi="Trebuchet MS"/>
        </w:rPr>
        <w:t>La remuneración y la compensación relacionada deben ser fijadas por la función laboral, no por la persona que la</w:t>
      </w:r>
      <w:r>
        <w:rPr>
          <w:rFonts w:ascii="Trebuchet MS" w:hAnsi="Trebuchet MS"/>
        </w:rPr>
        <w:t xml:space="preserve"> </w:t>
      </w:r>
      <w:r w:rsidRPr="00E209E8">
        <w:rPr>
          <w:rFonts w:ascii="Trebuchet MS" w:hAnsi="Trebuchet MS"/>
        </w:rPr>
        <w:t>desempeña. El pago de bonificaciones debe otorgarse de acuerdo con un sistema claro y transparente para que todo el</w:t>
      </w:r>
      <w:r>
        <w:rPr>
          <w:rFonts w:ascii="Trebuchet MS" w:hAnsi="Trebuchet MS"/>
        </w:rPr>
        <w:t xml:space="preserve"> </w:t>
      </w:r>
      <w:r w:rsidRPr="00E209E8">
        <w:rPr>
          <w:rFonts w:ascii="Trebuchet MS" w:hAnsi="Trebuchet MS"/>
        </w:rPr>
        <w:t>personal comprenda las bases y las métricas del pago de bonificaciones.</w:t>
      </w:r>
    </w:p>
    <w:p w14:paraId="34F732DE" w14:textId="77777777" w:rsidR="0032328B" w:rsidRPr="0032328B" w:rsidRDefault="0032328B" w:rsidP="0032328B">
      <w:pPr>
        <w:jc w:val="both"/>
        <w:rPr>
          <w:rFonts w:ascii="Trebuchet MS" w:hAnsi="Trebuchet MS"/>
          <w:b/>
          <w:bCs/>
        </w:rPr>
      </w:pPr>
      <w:r w:rsidRPr="0032328B">
        <w:rPr>
          <w:rFonts w:ascii="Trebuchet MS" w:hAnsi="Trebuchet MS"/>
          <w:b/>
          <w:bCs/>
        </w:rPr>
        <w:t>Definición de la brecha salarial de género</w:t>
      </w:r>
    </w:p>
    <w:p w14:paraId="590C3C03" w14:textId="3AF1C599" w:rsidR="00E209E8" w:rsidRDefault="0032328B" w:rsidP="0032328B">
      <w:pPr>
        <w:jc w:val="both"/>
        <w:rPr>
          <w:rFonts w:ascii="Trebuchet MS" w:hAnsi="Trebuchet MS"/>
        </w:rPr>
      </w:pPr>
      <w:r w:rsidRPr="0032328B">
        <w:rPr>
          <w:rFonts w:ascii="Trebuchet MS" w:hAnsi="Trebuchet MS"/>
        </w:rPr>
        <w:t>Según la OIT:</w:t>
      </w:r>
      <w:r>
        <w:rPr>
          <w:rFonts w:ascii="Trebuchet MS" w:hAnsi="Trebuchet MS"/>
        </w:rPr>
        <w:t xml:space="preserve"> </w:t>
      </w:r>
      <w:r w:rsidRPr="0032328B">
        <w:rPr>
          <w:rFonts w:ascii="Trebuchet MS" w:hAnsi="Trebuchet MS"/>
        </w:rPr>
        <w:t>La brecha salarial de género mide la diferencia entre los ingresos promedio de hombres y mujeres como</w:t>
      </w:r>
      <w:r>
        <w:rPr>
          <w:rFonts w:ascii="Trebuchet MS" w:hAnsi="Trebuchet MS"/>
        </w:rPr>
        <w:t xml:space="preserve"> </w:t>
      </w:r>
      <w:r w:rsidRPr="0032328B">
        <w:rPr>
          <w:rFonts w:ascii="Trebuchet MS" w:hAnsi="Trebuchet MS"/>
        </w:rPr>
        <w:t>porcentaje de los ingresos de los hombres. En general, características como las diferencias en los niveles</w:t>
      </w:r>
      <w:r>
        <w:rPr>
          <w:rFonts w:ascii="Trebuchet MS" w:hAnsi="Trebuchet MS"/>
        </w:rPr>
        <w:t xml:space="preserve"> </w:t>
      </w:r>
      <w:r w:rsidRPr="0032328B">
        <w:rPr>
          <w:rFonts w:ascii="Trebuchet MS" w:hAnsi="Trebuchet MS"/>
        </w:rPr>
        <w:t>educativos, las calificaciones, la experiencia laboral, la categoría ocupacional y las horas trabajadas representan</w:t>
      </w:r>
      <w:r>
        <w:rPr>
          <w:rFonts w:ascii="Trebuchet MS" w:hAnsi="Trebuchet MS"/>
        </w:rPr>
        <w:t xml:space="preserve"> </w:t>
      </w:r>
      <w:r w:rsidRPr="0032328B">
        <w:rPr>
          <w:rFonts w:ascii="Trebuchet MS" w:hAnsi="Trebuchet MS"/>
        </w:rPr>
        <w:t>la parte “explicada” de la brecha salarial de género. La parte restante y más significativa, la parte “inexplicable”</w:t>
      </w:r>
      <w:r>
        <w:rPr>
          <w:rFonts w:ascii="Trebuchet MS" w:hAnsi="Trebuchet MS"/>
        </w:rPr>
        <w:t xml:space="preserve"> </w:t>
      </w:r>
      <w:r w:rsidRPr="0032328B">
        <w:rPr>
          <w:rFonts w:ascii="Trebuchet MS" w:hAnsi="Trebuchet MS"/>
        </w:rPr>
        <w:t>de la brecha salarial, es atribuible a la discriminación –consciente o inconsciente– que está generalizada en los</w:t>
      </w:r>
      <w:r>
        <w:rPr>
          <w:rFonts w:ascii="Trebuchet MS" w:hAnsi="Trebuchet MS"/>
        </w:rPr>
        <w:t xml:space="preserve"> </w:t>
      </w:r>
      <w:r w:rsidRPr="0032328B">
        <w:rPr>
          <w:rFonts w:ascii="Trebuchet MS" w:hAnsi="Trebuchet MS"/>
        </w:rPr>
        <w:t>lugares de trabajo.</w:t>
      </w:r>
    </w:p>
    <w:p w14:paraId="5B0C1309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215B52AB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7711950A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35EF67F6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4B3D805C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652C7713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5590EFB5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66BE41D2" w14:textId="77777777" w:rsidR="00320186" w:rsidRDefault="00320186" w:rsidP="0032328B">
      <w:pPr>
        <w:jc w:val="both"/>
        <w:rPr>
          <w:rFonts w:ascii="Trebuchet MS" w:hAnsi="Trebuchet MS"/>
        </w:rPr>
      </w:pPr>
    </w:p>
    <w:p w14:paraId="2F23A474" w14:textId="54232997" w:rsidR="00320186" w:rsidRPr="00320186" w:rsidRDefault="00320186" w:rsidP="00320186">
      <w:pPr>
        <w:jc w:val="center"/>
        <w:rPr>
          <w:rFonts w:ascii="Trebuchet MS" w:hAnsi="Trebuchet MS"/>
          <w:b/>
          <w:bCs/>
        </w:rPr>
      </w:pPr>
      <w:r w:rsidRPr="00320186">
        <w:rPr>
          <w:rFonts w:ascii="Trebuchet MS" w:hAnsi="Trebuchet MS"/>
          <w:b/>
          <w:bCs/>
        </w:rPr>
        <w:lastRenderedPageBreak/>
        <w:t>Encuesta de brecha salarial</w:t>
      </w:r>
    </w:p>
    <w:p w14:paraId="365D6610" w14:textId="77777777" w:rsidR="00320186" w:rsidRDefault="00320186" w:rsidP="0032328B">
      <w:pPr>
        <w:jc w:val="both"/>
        <w:rPr>
          <w:rFonts w:ascii="Trebuchet MS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980"/>
        <w:gridCol w:w="850"/>
        <w:gridCol w:w="1887"/>
      </w:tblGrid>
      <w:tr w:rsidR="00320186" w14:paraId="7E53E3A8" w14:textId="3D60BEDC" w:rsidTr="00320186">
        <w:trPr>
          <w:trHeight w:val="550"/>
        </w:trPr>
        <w:tc>
          <w:tcPr>
            <w:tcW w:w="8828" w:type="dxa"/>
            <w:gridSpan w:val="4"/>
            <w:shd w:val="clear" w:color="auto" w:fill="00B0F0"/>
            <w:vAlign w:val="center"/>
          </w:tcPr>
          <w:p w14:paraId="4386DF7B" w14:textId="767BD4D3" w:rsidR="00320186" w:rsidRDefault="00320186" w:rsidP="00320186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Brecha</w:t>
            </w:r>
            <w:r w:rsidRPr="00575A6C">
              <w:rPr>
                <w:rFonts w:ascii="Trebuchet MS" w:hAnsi="Trebuchet MS"/>
                <w:b/>
                <w:bCs/>
                <w:lang w:val="es-MX"/>
              </w:rPr>
              <w:t xml:space="preserve"> salarial</w:t>
            </w:r>
          </w:p>
        </w:tc>
      </w:tr>
      <w:tr w:rsidR="00320186" w14:paraId="7B05339E" w14:textId="28383831" w:rsidTr="00320186">
        <w:tc>
          <w:tcPr>
            <w:tcW w:w="5111" w:type="dxa"/>
            <w:shd w:val="clear" w:color="auto" w:fill="00B0F0"/>
            <w:vAlign w:val="center"/>
          </w:tcPr>
          <w:p w14:paraId="3A5AB22B" w14:textId="169F8B51" w:rsidR="00320186" w:rsidRPr="00320186" w:rsidRDefault="00320186" w:rsidP="00320186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 w:rsidRPr="00320186">
              <w:rPr>
                <w:rFonts w:ascii="Trebuchet MS" w:hAnsi="Trebuchet MS"/>
                <w:b/>
                <w:bCs/>
                <w:lang w:val="es-MX"/>
              </w:rPr>
              <w:t xml:space="preserve">Preguntas </w:t>
            </w:r>
          </w:p>
        </w:tc>
        <w:tc>
          <w:tcPr>
            <w:tcW w:w="980" w:type="dxa"/>
            <w:shd w:val="clear" w:color="auto" w:fill="00B0F0"/>
            <w:vAlign w:val="center"/>
          </w:tcPr>
          <w:p w14:paraId="4471FE4D" w14:textId="630373B9" w:rsidR="00320186" w:rsidRDefault="00320186" w:rsidP="00320186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Sí</w:t>
            </w:r>
          </w:p>
        </w:tc>
        <w:tc>
          <w:tcPr>
            <w:tcW w:w="850" w:type="dxa"/>
            <w:shd w:val="clear" w:color="auto" w:fill="00B0F0"/>
            <w:vAlign w:val="center"/>
          </w:tcPr>
          <w:p w14:paraId="6435B247" w14:textId="6BB698E2" w:rsidR="00320186" w:rsidRDefault="00320186" w:rsidP="00320186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No</w:t>
            </w:r>
          </w:p>
        </w:tc>
        <w:tc>
          <w:tcPr>
            <w:tcW w:w="1887" w:type="dxa"/>
            <w:shd w:val="clear" w:color="auto" w:fill="00B0F0"/>
            <w:vAlign w:val="center"/>
          </w:tcPr>
          <w:p w14:paraId="0FD086B9" w14:textId="5713F556" w:rsidR="00320186" w:rsidRDefault="00320186" w:rsidP="00320186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Acciones de mejora</w:t>
            </w:r>
          </w:p>
        </w:tc>
      </w:tr>
      <w:tr w:rsidR="00320186" w14:paraId="02A6400A" w14:textId="4DCD0F4B" w:rsidTr="00320186">
        <w:tc>
          <w:tcPr>
            <w:tcW w:w="5111" w:type="dxa"/>
            <w:vAlign w:val="center"/>
          </w:tcPr>
          <w:p w14:paraId="7351A402" w14:textId="599D3AE2" w:rsidR="00320186" w:rsidRPr="0074711C" w:rsidRDefault="00E767EC" w:rsidP="008B1574">
            <w:pPr>
              <w:jc w:val="both"/>
              <w:rPr>
                <w:rFonts w:ascii="Trebuchet MS" w:hAnsi="Trebuchet MS"/>
                <w:lang w:val="es-MX"/>
              </w:rPr>
            </w:pPr>
            <w:r w:rsidRPr="00E767EC">
              <w:rPr>
                <w:rFonts w:ascii="Trebuchet MS" w:hAnsi="Trebuchet MS"/>
                <w:lang w:val="es-MX"/>
              </w:rPr>
              <w:t>¿Existe una política de igualdad salarial por igual trabajo?</w:t>
            </w:r>
          </w:p>
        </w:tc>
        <w:tc>
          <w:tcPr>
            <w:tcW w:w="980" w:type="dxa"/>
          </w:tcPr>
          <w:p w14:paraId="1E0DC3DC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111F8E64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4ED090E7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20186" w14:paraId="25FADEC4" w14:textId="3253D3E6" w:rsidTr="00320186">
        <w:tc>
          <w:tcPr>
            <w:tcW w:w="5111" w:type="dxa"/>
            <w:vAlign w:val="center"/>
          </w:tcPr>
          <w:p w14:paraId="3EF36B77" w14:textId="3E238BA5" w:rsidR="00320186" w:rsidRPr="0074711C" w:rsidRDefault="00E767EC" w:rsidP="008B1574">
            <w:pPr>
              <w:jc w:val="both"/>
              <w:rPr>
                <w:rFonts w:ascii="Trebuchet MS" w:hAnsi="Trebuchet MS"/>
                <w:lang w:val="es-MX"/>
              </w:rPr>
            </w:pPr>
            <w:r w:rsidRPr="00E767EC">
              <w:rPr>
                <w:rFonts w:ascii="Trebuchet MS" w:hAnsi="Trebuchet MS"/>
                <w:lang w:val="es-MX"/>
              </w:rPr>
              <w:t>¿Cómo se ha informado al personal sobre esta política?</w:t>
            </w:r>
          </w:p>
        </w:tc>
        <w:tc>
          <w:tcPr>
            <w:tcW w:w="980" w:type="dxa"/>
          </w:tcPr>
          <w:p w14:paraId="1B6E980A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7CCB8003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54F4DA32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20186" w14:paraId="1C1DE907" w14:textId="5063A07B" w:rsidTr="00320186">
        <w:trPr>
          <w:trHeight w:val="817"/>
        </w:trPr>
        <w:tc>
          <w:tcPr>
            <w:tcW w:w="5111" w:type="dxa"/>
            <w:vAlign w:val="center"/>
          </w:tcPr>
          <w:p w14:paraId="2440B96E" w14:textId="6766D4C0" w:rsidR="00320186" w:rsidRPr="0074711C" w:rsidRDefault="00E767EC" w:rsidP="008B1574">
            <w:pPr>
              <w:jc w:val="both"/>
              <w:rPr>
                <w:rFonts w:ascii="Trebuchet MS" w:hAnsi="Trebuchet MS"/>
                <w:lang w:val="es-MX"/>
              </w:rPr>
            </w:pPr>
            <w:r w:rsidRPr="00E767EC">
              <w:rPr>
                <w:rFonts w:ascii="Trebuchet MS" w:hAnsi="Trebuchet MS"/>
                <w:lang w:val="es-MX"/>
              </w:rPr>
              <w:t>¿Alguien dentro de la organización es responsable de implementar esta política?</w:t>
            </w:r>
          </w:p>
        </w:tc>
        <w:tc>
          <w:tcPr>
            <w:tcW w:w="980" w:type="dxa"/>
          </w:tcPr>
          <w:p w14:paraId="62167B96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13902667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1910733D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20186" w14:paraId="6FD9C6FC" w14:textId="2721BBDC" w:rsidTr="00320186">
        <w:trPr>
          <w:trHeight w:val="817"/>
        </w:trPr>
        <w:tc>
          <w:tcPr>
            <w:tcW w:w="5111" w:type="dxa"/>
            <w:vAlign w:val="center"/>
          </w:tcPr>
          <w:p w14:paraId="42818071" w14:textId="667CDADE" w:rsidR="00320186" w:rsidRPr="0074711C" w:rsidRDefault="00E767EC" w:rsidP="008B1574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¿Cuentan con estrategias para transversalizar esta política dentro de la organización?</w:t>
            </w:r>
          </w:p>
        </w:tc>
        <w:tc>
          <w:tcPr>
            <w:tcW w:w="980" w:type="dxa"/>
          </w:tcPr>
          <w:p w14:paraId="7D295327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3567F2C9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5430B273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20186" w14:paraId="3FD0E6D3" w14:textId="6B3AC336" w:rsidTr="00320186">
        <w:trPr>
          <w:trHeight w:val="817"/>
        </w:trPr>
        <w:tc>
          <w:tcPr>
            <w:tcW w:w="5111" w:type="dxa"/>
            <w:vAlign w:val="center"/>
          </w:tcPr>
          <w:p w14:paraId="10B393B5" w14:textId="12A0A30E" w:rsidR="00320186" w:rsidRPr="0074711C" w:rsidRDefault="00E767EC" w:rsidP="008B1574">
            <w:pPr>
              <w:jc w:val="both"/>
              <w:rPr>
                <w:rFonts w:ascii="Trebuchet MS" w:hAnsi="Trebuchet MS"/>
                <w:lang w:val="es-MX"/>
              </w:rPr>
            </w:pPr>
            <w:r w:rsidRPr="00E767EC">
              <w:rPr>
                <w:rFonts w:ascii="Trebuchet MS" w:hAnsi="Trebuchet MS"/>
                <w:lang w:val="es-MX"/>
              </w:rPr>
              <w:t>¿Se ha revisado la métrica de evaluación de puestos para detectar sesgos de género?</w:t>
            </w:r>
          </w:p>
        </w:tc>
        <w:tc>
          <w:tcPr>
            <w:tcW w:w="980" w:type="dxa"/>
          </w:tcPr>
          <w:p w14:paraId="5436386E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3F1FBE36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485FDBDD" w14:textId="77777777" w:rsidR="00320186" w:rsidRDefault="00320186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E767EC" w14:paraId="1D85698F" w14:textId="77777777" w:rsidTr="00320186">
        <w:trPr>
          <w:trHeight w:val="817"/>
        </w:trPr>
        <w:tc>
          <w:tcPr>
            <w:tcW w:w="5111" w:type="dxa"/>
            <w:vAlign w:val="center"/>
          </w:tcPr>
          <w:p w14:paraId="5744A79D" w14:textId="1B9982C6" w:rsidR="00E767EC" w:rsidRPr="00E767EC" w:rsidRDefault="00E767EC" w:rsidP="00E767EC">
            <w:pPr>
              <w:jc w:val="both"/>
              <w:rPr>
                <w:rFonts w:ascii="Trebuchet MS" w:hAnsi="Trebuchet MS"/>
                <w:lang w:val="es-MX"/>
              </w:rPr>
            </w:pPr>
            <w:r w:rsidRPr="00E767EC">
              <w:rPr>
                <w:rFonts w:ascii="Trebuchet MS" w:hAnsi="Trebuchet MS"/>
                <w:lang w:val="es-MX"/>
              </w:rPr>
              <w:t>¿Se ha realizado en el pasado una revisión de la brecha salarial para identificar brechas en la remuneración</w:t>
            </w:r>
            <w:r>
              <w:rPr>
                <w:rFonts w:ascii="Trebuchet MS" w:hAnsi="Trebuchet MS"/>
                <w:lang w:val="es-MX"/>
              </w:rPr>
              <w:t xml:space="preserve"> </w:t>
            </w:r>
            <w:r w:rsidRPr="00E767EC">
              <w:rPr>
                <w:rFonts w:ascii="Trebuchet MS" w:hAnsi="Trebuchet MS"/>
                <w:lang w:val="es-MX"/>
              </w:rPr>
              <w:t>por un trabajo equivalente?</w:t>
            </w:r>
          </w:p>
        </w:tc>
        <w:tc>
          <w:tcPr>
            <w:tcW w:w="980" w:type="dxa"/>
          </w:tcPr>
          <w:p w14:paraId="7FDF2486" w14:textId="77777777" w:rsidR="00E767EC" w:rsidRDefault="00E767EC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2E891780" w14:textId="77777777" w:rsidR="00E767EC" w:rsidRDefault="00E767EC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5C5755DA" w14:textId="77777777" w:rsidR="00E767EC" w:rsidRDefault="00E767EC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E767EC" w14:paraId="38B18060" w14:textId="77777777" w:rsidTr="00320186">
        <w:trPr>
          <w:trHeight w:val="817"/>
        </w:trPr>
        <w:tc>
          <w:tcPr>
            <w:tcW w:w="5111" w:type="dxa"/>
            <w:vAlign w:val="center"/>
          </w:tcPr>
          <w:p w14:paraId="4FD51018" w14:textId="05BCC18C" w:rsidR="00E767EC" w:rsidRPr="00E767EC" w:rsidRDefault="00E767EC" w:rsidP="00E767E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¿Han analizado los riesgos asociados a no controlar o gestionar la brecha salarial en su organización?</w:t>
            </w:r>
          </w:p>
        </w:tc>
        <w:tc>
          <w:tcPr>
            <w:tcW w:w="980" w:type="dxa"/>
          </w:tcPr>
          <w:p w14:paraId="3BD73CA4" w14:textId="77777777" w:rsidR="00E767EC" w:rsidRDefault="00E767EC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850" w:type="dxa"/>
          </w:tcPr>
          <w:p w14:paraId="4B3E23D6" w14:textId="77777777" w:rsidR="00E767EC" w:rsidRDefault="00E767EC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887" w:type="dxa"/>
          </w:tcPr>
          <w:p w14:paraId="29F1B4CA" w14:textId="77777777" w:rsidR="00E767EC" w:rsidRDefault="00E767EC" w:rsidP="008B1574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</w:tbl>
    <w:p w14:paraId="6F8D5E45" w14:textId="77777777" w:rsidR="00320186" w:rsidRPr="00320186" w:rsidRDefault="00320186" w:rsidP="0032328B">
      <w:pPr>
        <w:jc w:val="both"/>
        <w:rPr>
          <w:rFonts w:ascii="Trebuchet MS" w:hAnsi="Trebuchet MS"/>
          <w:lang w:val="es-MX"/>
        </w:rPr>
      </w:pPr>
    </w:p>
    <w:sectPr w:rsidR="00320186" w:rsidRPr="003201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A33E" w14:textId="77777777" w:rsidR="00FC05EA" w:rsidRDefault="00FC05EA" w:rsidP="000E63BC">
      <w:pPr>
        <w:spacing w:after="0" w:line="240" w:lineRule="auto"/>
      </w:pPr>
      <w:r>
        <w:separator/>
      </w:r>
    </w:p>
  </w:endnote>
  <w:endnote w:type="continuationSeparator" w:id="0">
    <w:p w14:paraId="148C0328" w14:textId="77777777" w:rsidR="00FC05EA" w:rsidRDefault="00FC05EA" w:rsidP="000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5249" w14:textId="77777777" w:rsidR="00FC05EA" w:rsidRDefault="00FC05EA" w:rsidP="000E63BC">
      <w:pPr>
        <w:spacing w:after="0" w:line="240" w:lineRule="auto"/>
      </w:pPr>
      <w:r>
        <w:separator/>
      </w:r>
    </w:p>
  </w:footnote>
  <w:footnote w:type="continuationSeparator" w:id="0">
    <w:p w14:paraId="0A1543F9" w14:textId="77777777" w:rsidR="00FC05EA" w:rsidRDefault="00FC05EA" w:rsidP="000E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0EBF" w14:textId="3102CB8F" w:rsidR="000E63BC" w:rsidRDefault="000E63BC">
    <w:pPr>
      <w:pStyle w:val="Encabezado"/>
    </w:pP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47FD7F" wp14:editId="1DFBFF2A">
              <wp:simplePos x="0" y="0"/>
              <wp:positionH relativeFrom="margin">
                <wp:align>center</wp:align>
              </wp:positionH>
              <wp:positionV relativeFrom="paragraph">
                <wp:posOffset>-398975</wp:posOffset>
              </wp:positionV>
              <wp:extent cx="7648575" cy="578518"/>
              <wp:effectExtent l="0" t="0" r="9525" b="0"/>
              <wp:wrapNone/>
              <wp:docPr id="104211221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8575" cy="578518"/>
                        <a:chOff x="-1114425" y="-865955"/>
                        <a:chExt cx="7648575" cy="578518"/>
                      </a:xfrm>
                    </wpg:grpSpPr>
                    <wps:wsp>
                      <wps:cNvPr id="543057633" name="Rectángulo 3"/>
                      <wps:cNvSpPr/>
                      <wps:spPr>
                        <a:xfrm>
                          <a:off x="-1114425" y="-865955"/>
                          <a:ext cx="7648575" cy="578518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91609" w14:textId="77777777" w:rsidR="000E63BC" w:rsidRPr="00495AC9" w:rsidRDefault="000E63BC" w:rsidP="000E63BC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Adaptado por: CIRCULAR LAB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CAMACOL.</w:t>
                            </w:r>
                          </w:p>
                          <w:p w14:paraId="614F0F17" w14:textId="77777777" w:rsidR="000E63BC" w:rsidRDefault="000E63BC" w:rsidP="000E6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895782" name="Graphic 3"/>
                      <wps:cNvSpPr/>
                      <wps:spPr>
                        <a:xfrm>
                          <a:off x="-1114425" y="-685800"/>
                          <a:ext cx="39751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364490">
                              <a:moveTo>
                                <a:pt x="397447" y="0"/>
                              </a:moveTo>
                              <a:lnTo>
                                <a:pt x="0" y="0"/>
                              </a:lnTo>
                              <a:lnTo>
                                <a:pt x="0" y="364133"/>
                              </a:lnTo>
                              <a:lnTo>
                                <a:pt x="397447" y="364133"/>
                              </a:lnTo>
                              <a:lnTo>
                                <a:pt x="397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3C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47FD7F" id="Grupo 4" o:spid="_x0000_s1027" style="position:absolute;margin-left:0;margin-top:-31.4pt;width:602.25pt;height:45.55pt;z-index:251659264;mso-position-horizontal:center;mso-position-horizontal-relative:margin;mso-height-relative:margin" coordorigin="-11144,-8659" coordsize="76485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">
              <v:rect id="Rectángulo 3" o:spid="_x0000_s1028" style="position:absolute;left:-11144;top:-8659;width:76485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" fillcolor="#efffff" stroked="f" strokeweight="1pt">
                <v:textbox>
                  <w:txbxContent>
                    <w:p w14:paraId="15791609" w14:textId="77777777" w:rsidR="000E63BC" w:rsidRPr="00495AC9" w:rsidRDefault="000E63BC" w:rsidP="000E63BC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5AC9">
                        <w:rPr>
                          <w:rFonts w:ascii="Arial" w:hAnsi="Arial" w:cs="Arial"/>
                          <w:sz w:val="18"/>
                          <w:szCs w:val="18"/>
                        </w:rPr>
                        <w:t>Adaptado por: CIRCULAR LAB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CAMACOL.</w:t>
                      </w:r>
                    </w:p>
                    <w:p w14:paraId="614F0F17" w14:textId="77777777" w:rsidR="000E63BC" w:rsidRDefault="000E63BC" w:rsidP="000E63BC"/>
                  </w:txbxContent>
                </v:textbox>
              </v:rect>
              <v:shape id="Graphic 3" o:spid="_x0000_s1029" style="position:absolute;left:-11144;top:-6858;width:3975;height:3639;visibility:visible;mso-wrap-style:square;v-text-anchor:top" coordsize="39751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" path="m397447,l,,,364133r397447,l397447,xe" fillcolor="#493cc3" stroked="f"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4A"/>
    <w:rsid w:val="000B582B"/>
    <w:rsid w:val="000E63BC"/>
    <w:rsid w:val="00280FF8"/>
    <w:rsid w:val="00284AFC"/>
    <w:rsid w:val="002F5A2B"/>
    <w:rsid w:val="00320186"/>
    <w:rsid w:val="0032328B"/>
    <w:rsid w:val="00341867"/>
    <w:rsid w:val="0034464A"/>
    <w:rsid w:val="0053716A"/>
    <w:rsid w:val="00575A6C"/>
    <w:rsid w:val="005F2700"/>
    <w:rsid w:val="00692952"/>
    <w:rsid w:val="006E1719"/>
    <w:rsid w:val="007344CD"/>
    <w:rsid w:val="0074711C"/>
    <w:rsid w:val="0075619F"/>
    <w:rsid w:val="007B75DC"/>
    <w:rsid w:val="007F0B47"/>
    <w:rsid w:val="009933D2"/>
    <w:rsid w:val="00A54372"/>
    <w:rsid w:val="00CE6D58"/>
    <w:rsid w:val="00CF5CEA"/>
    <w:rsid w:val="00D635DB"/>
    <w:rsid w:val="00DC5B99"/>
    <w:rsid w:val="00E209E8"/>
    <w:rsid w:val="00E369BD"/>
    <w:rsid w:val="00E75534"/>
    <w:rsid w:val="00E767EC"/>
    <w:rsid w:val="00EB772D"/>
    <w:rsid w:val="00F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C501E"/>
  <w15:chartTrackingRefBased/>
  <w15:docId w15:val="{9149551E-0924-4467-8188-84F1B5E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6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3BC"/>
  </w:style>
  <w:style w:type="paragraph" w:styleId="Piedepgina">
    <w:name w:val="footer"/>
    <w:basedOn w:val="Normal"/>
    <w:link w:val="PiedepginaCar"/>
    <w:uiPriority w:val="99"/>
    <w:unhideWhenUsed/>
    <w:rsid w:val="000E6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B93D06EC-2A79-4E9A-9243-47055C59BA8F}"/>
</file>

<file path=customXml/itemProps2.xml><?xml version="1.0" encoding="utf-8"?>
<ds:datastoreItem xmlns:ds="http://schemas.openxmlformats.org/officeDocument/2006/customXml" ds:itemID="{783485FA-AAB9-4750-BEEF-7C7AE04A80B5}"/>
</file>

<file path=customXml/itemProps3.xml><?xml version="1.0" encoding="utf-8"?>
<ds:datastoreItem xmlns:ds="http://schemas.openxmlformats.org/officeDocument/2006/customXml" ds:itemID="{90546506-F3C3-4651-BA4B-FCFF36F32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Gómez</dc:creator>
  <cp:keywords/>
  <dc:description/>
  <cp:lastModifiedBy>Vanessa Gómez</cp:lastModifiedBy>
  <cp:revision>9</cp:revision>
  <dcterms:created xsi:type="dcterms:W3CDTF">2024-05-23T20:16:00Z</dcterms:created>
  <dcterms:modified xsi:type="dcterms:W3CDTF">2024-05-23T20:34:00Z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